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6C" w:rsidRPr="00737F7A" w:rsidRDefault="009B6C6C" w:rsidP="009B6C6C">
      <w:pPr>
        <w:spacing w:after="0" w:line="240" w:lineRule="auto"/>
      </w:pPr>
    </w:p>
    <w:p w:rsidR="00737F7A" w:rsidRPr="00737F7A" w:rsidRDefault="00355484" w:rsidP="00737F7A">
      <w:pPr>
        <w:jc w:val="center"/>
        <w:rPr>
          <w:rFonts w:eastAsiaTheme="minorHAnsi"/>
          <w:b/>
        </w:rPr>
      </w:pPr>
      <w:r w:rsidRPr="00737F7A">
        <w:tab/>
      </w:r>
      <w:r w:rsidR="00737F7A" w:rsidRPr="00737F7A">
        <w:rPr>
          <w:rFonts w:eastAsiaTheme="minorHAnsi"/>
          <w:b/>
        </w:rPr>
        <w:t xml:space="preserve">IN THE IOWA DISTRICT COURT FOR </w:t>
      </w:r>
      <w:r w:rsidR="00F639D7">
        <w:rPr>
          <w:b/>
        </w:rPr>
        <w:t xml:space="preserve">POLK </w:t>
      </w:r>
      <w:r w:rsidR="00737F7A" w:rsidRPr="00737F7A">
        <w:rPr>
          <w:rFonts w:eastAsiaTheme="minorHAnsi"/>
          <w:b/>
        </w:rPr>
        <w:t>COUNTY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737F7A" w:rsidRPr="00737F7A" w:rsidTr="00296F73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:rsidR="00737F7A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RE THE MARRIAGE OF </w:t>
            </w:r>
            <w:r w:rsidR="00F57F78">
              <w:rPr>
                <w:rFonts w:ascii="Times New Roman" w:hAnsi="Times New Roman" w:cs="Times New Roman"/>
              </w:rPr>
              <w:t>JOHN DOE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E33632"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</w:p>
        </w:tc>
      </w:tr>
      <w:tr w:rsidR="00296F73" w:rsidRPr="00737F7A" w:rsidTr="00296F73">
        <w:tc>
          <w:tcPr>
            <w:tcW w:w="4765" w:type="dxa"/>
            <w:tcBorders>
              <w:top w:val="single" w:sz="4" w:space="0" w:color="auto"/>
              <w:right w:val="single" w:sz="4" w:space="0" w:color="auto"/>
            </w:tcBorders>
          </w:tcPr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Upon the Petition of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F57F78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DOE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Petitioner,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And Concerning,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1E51C9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Respondent.</w:t>
            </w:r>
          </w:p>
          <w:p w:rsidR="00296F73" w:rsidRPr="00737F7A" w:rsidRDefault="00296F73" w:rsidP="00737F7A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</w:tcBorders>
          </w:tcPr>
          <w:p w:rsidR="00296F73" w:rsidRPr="00737F7A" w:rsidRDefault="00296F73" w:rsidP="00737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 xml:space="preserve">CASE NO. </w:t>
            </w:r>
            <w:r>
              <w:rPr>
                <w:rFonts w:ascii="Times New Roman" w:hAnsi="Times New Roman" w:cs="Times New Roman"/>
              </w:rPr>
              <w:t xml:space="preserve">******** </w:t>
            </w: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A93658" w:rsidRDefault="00A93658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RESISTANCE TO</w:t>
            </w:r>
          </w:p>
          <w:p w:rsidR="00296F73" w:rsidRPr="00737F7A" w:rsidRDefault="00E53D5A" w:rsidP="00F37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MOTION TO CONTINUE</w:t>
            </w:r>
          </w:p>
        </w:tc>
      </w:tr>
    </w:tbl>
    <w:p w:rsidR="00611824" w:rsidRPr="00611824" w:rsidRDefault="00611824" w:rsidP="00611824">
      <w:pPr>
        <w:spacing w:after="0" w:line="240" w:lineRule="auto"/>
        <w:rPr>
          <w:rFonts w:eastAsia="MS Mincho"/>
        </w:rPr>
      </w:pPr>
    </w:p>
    <w:p w:rsidR="00A93658" w:rsidRPr="00A93658" w:rsidRDefault="00A93658" w:rsidP="00A93658">
      <w:pPr>
        <w:spacing w:after="0" w:line="480" w:lineRule="auto"/>
        <w:ind w:firstLine="720"/>
        <w:jc w:val="both"/>
        <w:rPr>
          <w:rFonts w:eastAsia="Times New Roman"/>
          <w:szCs w:val="20"/>
        </w:rPr>
      </w:pPr>
      <w:r w:rsidRPr="00A93658">
        <w:rPr>
          <w:rFonts w:eastAsia="Times New Roman"/>
          <w:bCs/>
          <w:szCs w:val="20"/>
        </w:rPr>
        <w:t>COMES NOW</w:t>
      </w:r>
      <w:r w:rsidRPr="00A93658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Petitioner</w:t>
      </w:r>
      <w:r w:rsidRPr="00A93658">
        <w:rPr>
          <w:rFonts w:eastAsia="Times New Roman"/>
          <w:szCs w:val="20"/>
        </w:rPr>
        <w:t xml:space="preserve">, </w:t>
      </w:r>
      <w:r>
        <w:rPr>
          <w:rFonts w:eastAsia="Times New Roman"/>
          <w:szCs w:val="20"/>
        </w:rPr>
        <w:t>John Doe</w:t>
      </w:r>
      <w:r w:rsidRPr="00A93658">
        <w:rPr>
          <w:rFonts w:eastAsia="Times New Roman"/>
          <w:szCs w:val="20"/>
        </w:rPr>
        <w:t xml:space="preserve">, by and through the undersigned attorney, and for </w:t>
      </w:r>
      <w:r>
        <w:rPr>
          <w:rFonts w:eastAsia="Times New Roman"/>
          <w:szCs w:val="20"/>
        </w:rPr>
        <w:t>his</w:t>
      </w:r>
      <w:r w:rsidRPr="00A93658">
        <w:rPr>
          <w:rFonts w:eastAsia="Times New Roman"/>
          <w:szCs w:val="20"/>
        </w:rPr>
        <w:t xml:space="preserve"> Resistance to Petitioner’s Motion to Continue, states as follows:</w:t>
      </w:r>
    </w:p>
    <w:p w:rsidR="00A93658" w:rsidRDefault="00A93658" w:rsidP="00A9365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t xml:space="preserve">That on </w:t>
      </w:r>
      <w:r>
        <w:rPr>
          <w:color w:val="auto"/>
        </w:rPr>
        <w:t>January</w:t>
      </w:r>
      <w:r>
        <w:rPr>
          <w:color w:val="auto"/>
        </w:rPr>
        <w:t xml:space="preserve"> </w:t>
      </w:r>
      <w:r>
        <w:rPr>
          <w:color w:val="auto"/>
        </w:rPr>
        <w:t>1</w:t>
      </w:r>
      <w:r w:rsidRPr="00A93658">
        <w:rPr>
          <w:color w:val="auto"/>
          <w:vertAlign w:val="superscript"/>
        </w:rPr>
        <w:t>st</w:t>
      </w:r>
      <w:r>
        <w:rPr>
          <w:color w:val="auto"/>
        </w:rPr>
        <w:t>, 2016</w:t>
      </w:r>
      <w:r>
        <w:rPr>
          <w:color w:val="auto"/>
        </w:rPr>
        <w:t>, Petitioner filed a “Petition for Dissolution of Marriage</w:t>
      </w:r>
      <w:r>
        <w:rPr>
          <w:color w:val="auto"/>
        </w:rPr>
        <w:t>” in the Iowa District Court for Polk County.</w:t>
      </w:r>
    </w:p>
    <w:p w:rsidR="00A93658" w:rsidRDefault="00A93658" w:rsidP="00A9365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t xml:space="preserve">That on March </w:t>
      </w:r>
      <w:r>
        <w:rPr>
          <w:color w:val="auto"/>
        </w:rPr>
        <w:t>1</w:t>
      </w:r>
      <w:r>
        <w:rPr>
          <w:color w:val="auto"/>
          <w:vertAlign w:val="superscript"/>
        </w:rPr>
        <w:t>st</w:t>
      </w:r>
      <w:r>
        <w:rPr>
          <w:color w:val="auto"/>
        </w:rPr>
        <w:t xml:space="preserve">, 2016 </w:t>
      </w:r>
      <w:r>
        <w:rPr>
          <w:color w:val="auto"/>
        </w:rPr>
        <w:t>the Court set a non-jury trial for this matter on May 17</w:t>
      </w:r>
      <w:r w:rsidRPr="009A4A50">
        <w:rPr>
          <w:color w:val="auto"/>
          <w:vertAlign w:val="superscript"/>
        </w:rPr>
        <w:t>th</w:t>
      </w:r>
      <w:r>
        <w:rPr>
          <w:color w:val="auto"/>
        </w:rPr>
        <w:t>, 2017.</w:t>
      </w:r>
    </w:p>
    <w:p w:rsidR="00A93658" w:rsidRDefault="00A93658" w:rsidP="00A9365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t xml:space="preserve">That counsel for </w:t>
      </w:r>
      <w:r>
        <w:rPr>
          <w:color w:val="auto"/>
        </w:rPr>
        <w:t>Petitioner</w:t>
      </w:r>
      <w:r>
        <w:rPr>
          <w:color w:val="auto"/>
        </w:rPr>
        <w:t xml:space="preserve"> consulted with </w:t>
      </w:r>
      <w:r>
        <w:rPr>
          <w:color w:val="auto"/>
        </w:rPr>
        <w:t>Respondent</w:t>
      </w:r>
      <w:r>
        <w:rPr>
          <w:color w:val="auto"/>
        </w:rPr>
        <w:t xml:space="preserve"> regarding the trial date and both parties approved the currently set trial date.</w:t>
      </w:r>
    </w:p>
    <w:p w:rsidR="00A93658" w:rsidRDefault="00A93658" w:rsidP="00A9365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t>That on May 1</w:t>
      </w:r>
      <w:r>
        <w:rPr>
          <w:color w:val="auto"/>
          <w:vertAlign w:val="superscript"/>
        </w:rPr>
        <w:t>st</w:t>
      </w:r>
      <w:r>
        <w:rPr>
          <w:color w:val="auto"/>
        </w:rPr>
        <w:t>, 201</w:t>
      </w:r>
      <w:r>
        <w:rPr>
          <w:color w:val="auto"/>
        </w:rPr>
        <w:t>7</w:t>
      </w:r>
      <w:r>
        <w:rPr>
          <w:color w:val="auto"/>
        </w:rPr>
        <w:t>, Petitioner filed a Motion to Continue stating in part:</w:t>
      </w:r>
    </w:p>
    <w:p w:rsidR="00A93658" w:rsidRDefault="00A93658" w:rsidP="00A93658">
      <w:pPr>
        <w:pStyle w:val="Default"/>
        <w:numPr>
          <w:ilvl w:val="1"/>
          <w:numId w:val="8"/>
        </w:numPr>
        <w:spacing w:line="480" w:lineRule="auto"/>
        <w:ind w:left="1980" w:hanging="540"/>
        <w:rPr>
          <w:color w:val="auto"/>
        </w:rPr>
      </w:pPr>
      <w:r>
        <w:rPr>
          <w:color w:val="auto"/>
        </w:rPr>
        <w:t>Parties have not completed mediation or exchanged financial information;</w:t>
      </w:r>
    </w:p>
    <w:p w:rsidR="00A93658" w:rsidRDefault="00A93658" w:rsidP="00A93658">
      <w:pPr>
        <w:pStyle w:val="Default"/>
        <w:numPr>
          <w:ilvl w:val="1"/>
          <w:numId w:val="8"/>
        </w:numPr>
        <w:spacing w:line="480" w:lineRule="auto"/>
        <w:ind w:left="1980" w:hanging="540"/>
        <w:rPr>
          <w:color w:val="auto"/>
        </w:rPr>
      </w:pPr>
      <w:r>
        <w:rPr>
          <w:color w:val="auto"/>
        </w:rPr>
        <w:t>Petitioner</w:t>
      </w:r>
      <w:r>
        <w:rPr>
          <w:color w:val="auto"/>
        </w:rPr>
        <w:t xml:space="preserve"> failed to comply with Request for Production of Documents and Interrogatories;</w:t>
      </w:r>
    </w:p>
    <w:p w:rsidR="00A93658" w:rsidRDefault="00A93658" w:rsidP="00A93658">
      <w:pPr>
        <w:pStyle w:val="Default"/>
        <w:numPr>
          <w:ilvl w:val="1"/>
          <w:numId w:val="8"/>
        </w:numPr>
        <w:spacing w:line="480" w:lineRule="auto"/>
        <w:ind w:left="1980" w:hanging="540"/>
        <w:rPr>
          <w:color w:val="auto"/>
        </w:rPr>
      </w:pPr>
      <w:r>
        <w:rPr>
          <w:color w:val="auto"/>
        </w:rPr>
        <w:t xml:space="preserve">That </w:t>
      </w:r>
      <w:r>
        <w:rPr>
          <w:color w:val="auto"/>
        </w:rPr>
        <w:t>Petitioner</w:t>
      </w:r>
      <w:r>
        <w:rPr>
          <w:color w:val="auto"/>
        </w:rPr>
        <w:t xml:space="preserve"> has not provided </w:t>
      </w:r>
      <w:r>
        <w:rPr>
          <w:color w:val="auto"/>
        </w:rPr>
        <w:t>Respondent</w:t>
      </w:r>
      <w:r>
        <w:rPr>
          <w:color w:val="auto"/>
        </w:rPr>
        <w:t xml:space="preserve"> their Witness and Exhibit list or exhibits;</w:t>
      </w:r>
    </w:p>
    <w:p w:rsidR="00A93658" w:rsidRDefault="00A93658" w:rsidP="00A9365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lastRenderedPageBreak/>
        <w:t>That parties did in fact complete mediation on final matters on May 9</w:t>
      </w:r>
      <w:r w:rsidRPr="00936DC0">
        <w:rPr>
          <w:color w:val="auto"/>
          <w:vertAlign w:val="superscript"/>
        </w:rPr>
        <w:t>th</w:t>
      </w:r>
      <w:r>
        <w:rPr>
          <w:color w:val="auto"/>
        </w:rPr>
        <w:t>, 2017 as evidenced by Mediator’s Certificate of Compliance with Requirements of Mediation, filed May 10</w:t>
      </w:r>
      <w:r w:rsidRPr="00936DC0">
        <w:rPr>
          <w:color w:val="auto"/>
          <w:vertAlign w:val="superscript"/>
        </w:rPr>
        <w:t>th</w:t>
      </w:r>
      <w:r>
        <w:rPr>
          <w:color w:val="auto"/>
        </w:rPr>
        <w:t>, 2017.</w:t>
      </w:r>
    </w:p>
    <w:p w:rsidR="00A93658" w:rsidRDefault="00A93658" w:rsidP="00A9365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t xml:space="preserve">That </w:t>
      </w:r>
      <w:proofErr w:type="gramStart"/>
      <w:r>
        <w:rPr>
          <w:color w:val="auto"/>
        </w:rPr>
        <w:t>in regards to</w:t>
      </w:r>
      <w:proofErr w:type="gramEnd"/>
      <w:r>
        <w:rPr>
          <w:color w:val="auto"/>
        </w:rPr>
        <w:t xml:space="preserve"> exchange of financial information, a pretrial conference was held in which </w:t>
      </w:r>
      <w:r>
        <w:rPr>
          <w:color w:val="auto"/>
        </w:rPr>
        <w:t>Respondent</w:t>
      </w:r>
      <w:r w:rsidRPr="00936DC0">
        <w:rPr>
          <w:color w:val="auto"/>
        </w:rPr>
        <w:t xml:space="preserve"> failed to appear, failed to complete Children in the Middle, while </w:t>
      </w:r>
      <w:r>
        <w:rPr>
          <w:color w:val="auto"/>
        </w:rPr>
        <w:t>Petitioner</w:t>
      </w:r>
      <w:r w:rsidRPr="00936DC0">
        <w:rPr>
          <w:color w:val="auto"/>
        </w:rPr>
        <w:t xml:space="preserve"> complied with pretrial requirements.</w:t>
      </w:r>
    </w:p>
    <w:p w:rsidR="00A93658" w:rsidRDefault="00A93658" w:rsidP="00A9365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t xml:space="preserve">That </w:t>
      </w:r>
      <w:r>
        <w:rPr>
          <w:color w:val="auto"/>
        </w:rPr>
        <w:t>Respondent’s</w:t>
      </w:r>
      <w:r>
        <w:rPr>
          <w:color w:val="auto"/>
        </w:rPr>
        <w:t xml:space="preserve"> allegation that </w:t>
      </w:r>
      <w:proofErr w:type="spellStart"/>
      <w:r>
        <w:rPr>
          <w:color w:val="auto"/>
        </w:rPr>
        <w:t>Peitioner</w:t>
      </w:r>
      <w:proofErr w:type="spellEnd"/>
      <w:r>
        <w:rPr>
          <w:color w:val="auto"/>
        </w:rPr>
        <w:t xml:space="preserve"> has </w:t>
      </w:r>
      <w:r w:rsidRPr="00936DC0">
        <w:rPr>
          <w:b/>
          <w:color w:val="auto"/>
        </w:rPr>
        <w:t>failed to comply with discovery is false</w:t>
      </w:r>
      <w:r>
        <w:rPr>
          <w:color w:val="auto"/>
        </w:rPr>
        <w:t xml:space="preserve">, as counsel for </w:t>
      </w:r>
      <w:r>
        <w:rPr>
          <w:color w:val="auto"/>
        </w:rPr>
        <w:t>Petitioner</w:t>
      </w:r>
      <w:r>
        <w:rPr>
          <w:color w:val="auto"/>
        </w:rPr>
        <w:t xml:space="preserve"> has at no time received discovery requests nor has a Notice of Discovery by Petitioner been filed with the Court.</w:t>
      </w:r>
    </w:p>
    <w:p w:rsidR="00A93658" w:rsidRDefault="00A93658" w:rsidP="00A9365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t xml:space="preserve">That </w:t>
      </w:r>
      <w:r>
        <w:rPr>
          <w:color w:val="auto"/>
        </w:rPr>
        <w:t>Petitioner</w:t>
      </w:r>
      <w:r>
        <w:rPr>
          <w:color w:val="auto"/>
        </w:rPr>
        <w:t xml:space="preserve"> has timely filed </w:t>
      </w:r>
      <w:proofErr w:type="spellStart"/>
      <w:r>
        <w:rPr>
          <w:color w:val="auto"/>
        </w:rPr>
        <w:t>h</w:t>
      </w:r>
      <w:r>
        <w:rPr>
          <w:color w:val="auto"/>
        </w:rPr>
        <w:t>his</w:t>
      </w:r>
      <w:proofErr w:type="spellEnd"/>
      <w:r>
        <w:rPr>
          <w:color w:val="auto"/>
        </w:rPr>
        <w:t xml:space="preserve"> Witness and Exhibit List and exhibits.</w:t>
      </w:r>
    </w:p>
    <w:p w:rsidR="00A93658" w:rsidRDefault="00A93658" w:rsidP="00A9365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t xml:space="preserve">That </w:t>
      </w:r>
      <w:r>
        <w:rPr>
          <w:color w:val="auto"/>
        </w:rPr>
        <w:t>Petitioner</w:t>
      </w:r>
      <w:r>
        <w:rPr>
          <w:color w:val="auto"/>
        </w:rPr>
        <w:t xml:space="preserve"> attempted to hand deliver to the Polk County Jail copies of exhibits, but Jail Staff refused to accept the exhibits, which </w:t>
      </w:r>
      <w:r>
        <w:rPr>
          <w:color w:val="auto"/>
        </w:rPr>
        <w:t>Petitioner</w:t>
      </w:r>
      <w:r>
        <w:rPr>
          <w:color w:val="auto"/>
        </w:rPr>
        <w:t xml:space="preserve"> subsequently mailed to Respondent as evidenced by Notice of Service of Exhibits filed May 9</w:t>
      </w:r>
      <w:r w:rsidRPr="00CF3193">
        <w:rPr>
          <w:color w:val="auto"/>
          <w:vertAlign w:val="superscript"/>
        </w:rPr>
        <w:t>th</w:t>
      </w:r>
      <w:r>
        <w:rPr>
          <w:color w:val="auto"/>
        </w:rPr>
        <w:t>, 2017.</w:t>
      </w:r>
    </w:p>
    <w:p w:rsidR="00A93658" w:rsidRDefault="00A93658" w:rsidP="00A9365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t xml:space="preserve">Further, that </w:t>
      </w:r>
      <w:r>
        <w:rPr>
          <w:color w:val="auto"/>
        </w:rPr>
        <w:t>Respondent’s</w:t>
      </w:r>
      <w:r>
        <w:rPr>
          <w:color w:val="auto"/>
        </w:rPr>
        <w:t xml:space="preserve"> incarceration at the Polk County </w:t>
      </w:r>
      <w:proofErr w:type="gramStart"/>
      <w:r>
        <w:rPr>
          <w:color w:val="auto"/>
        </w:rPr>
        <w:t>Jail  is</w:t>
      </w:r>
      <w:proofErr w:type="gramEnd"/>
      <w:r>
        <w:rPr>
          <w:color w:val="auto"/>
        </w:rPr>
        <w:t xml:space="preserve"> due to h</w:t>
      </w:r>
      <w:r>
        <w:rPr>
          <w:color w:val="auto"/>
        </w:rPr>
        <w:t>er</w:t>
      </w:r>
      <w:r>
        <w:rPr>
          <w:color w:val="auto"/>
        </w:rPr>
        <w:t xml:space="preserve"> own actions and should</w:t>
      </w:r>
      <w:r w:rsidR="006F72D8">
        <w:rPr>
          <w:color w:val="auto"/>
        </w:rPr>
        <w:t xml:space="preserve"> not</w:t>
      </w:r>
      <w:r>
        <w:rPr>
          <w:color w:val="auto"/>
        </w:rPr>
        <w:t xml:space="preserve"> serve as an excuse to continue this trial.</w:t>
      </w:r>
    </w:p>
    <w:p w:rsidR="00A93658" w:rsidRDefault="00A93658" w:rsidP="00A9365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t xml:space="preserve">That </w:t>
      </w:r>
      <w:r w:rsidR="006F72D8">
        <w:rPr>
          <w:color w:val="auto"/>
        </w:rPr>
        <w:t>Respondent</w:t>
      </w:r>
      <w:r>
        <w:rPr>
          <w:color w:val="auto"/>
        </w:rPr>
        <w:t>’s stated reasons for a continuance are either no longer accurate, incorrect and in one case plainly false.</w:t>
      </w:r>
    </w:p>
    <w:p w:rsidR="00A93658" w:rsidRPr="006F72D8" w:rsidRDefault="00A93658" w:rsidP="006F72D8">
      <w:pPr>
        <w:pStyle w:val="Default"/>
        <w:numPr>
          <w:ilvl w:val="0"/>
          <w:numId w:val="8"/>
        </w:numPr>
        <w:spacing w:line="480" w:lineRule="auto"/>
        <w:ind w:left="1260" w:hanging="540"/>
        <w:rPr>
          <w:color w:val="auto"/>
        </w:rPr>
      </w:pPr>
      <w:r>
        <w:rPr>
          <w:color w:val="auto"/>
        </w:rPr>
        <w:t>That no good cause exists for a continuance.</w:t>
      </w:r>
    </w:p>
    <w:p w:rsidR="00B10416" w:rsidRPr="006F72D8" w:rsidRDefault="00A93658" w:rsidP="006F72D8">
      <w:pPr>
        <w:spacing w:after="0" w:line="480" w:lineRule="auto"/>
        <w:ind w:firstLine="720"/>
        <w:rPr>
          <w:rFonts w:eastAsia="Times New Roman"/>
          <w:szCs w:val="20"/>
        </w:rPr>
      </w:pPr>
      <w:r w:rsidRPr="00A93658">
        <w:rPr>
          <w:rFonts w:eastAsia="Times New Roman"/>
          <w:szCs w:val="20"/>
        </w:rPr>
        <w:t xml:space="preserve">WHEREFORE, </w:t>
      </w:r>
      <w:r w:rsidR="006F72D8">
        <w:rPr>
          <w:rFonts w:eastAsia="Times New Roman"/>
          <w:szCs w:val="20"/>
        </w:rPr>
        <w:t>Petitioner</w:t>
      </w:r>
      <w:r w:rsidRPr="00A93658">
        <w:rPr>
          <w:rFonts w:eastAsia="Times New Roman"/>
          <w:szCs w:val="20"/>
        </w:rPr>
        <w:t xml:space="preserve"> requests this court deny </w:t>
      </w:r>
      <w:r w:rsidR="006F72D8">
        <w:rPr>
          <w:rFonts w:eastAsia="Times New Roman"/>
          <w:szCs w:val="20"/>
        </w:rPr>
        <w:t>Respondent’s</w:t>
      </w:r>
      <w:r w:rsidRPr="00A93658">
        <w:rPr>
          <w:rFonts w:eastAsia="Times New Roman"/>
          <w:szCs w:val="20"/>
        </w:rPr>
        <w:t xml:space="preserve"> Motion for a Continuance, confirm this matter for trial, and grant such further relief as the c</w:t>
      </w:r>
      <w:r w:rsidR="006F72D8">
        <w:rPr>
          <w:rFonts w:eastAsia="Times New Roman"/>
          <w:szCs w:val="20"/>
        </w:rPr>
        <w:t>ourt deems just in the premises.</w:t>
      </w:r>
      <w:bookmarkStart w:id="0" w:name="_GoBack"/>
      <w:bookmarkEnd w:id="0"/>
    </w:p>
    <w:p w:rsidR="00B10416" w:rsidRPr="0036528D" w:rsidRDefault="00B10416" w:rsidP="00B10416">
      <w:pPr>
        <w:spacing w:after="0" w:line="240" w:lineRule="auto"/>
        <w:ind w:left="3600" w:firstLine="720"/>
      </w:pPr>
      <w:r w:rsidRPr="0036528D">
        <w:t xml:space="preserve">Respectfully submitted, </w:t>
      </w:r>
    </w:p>
    <w:p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:rsidR="00B10416" w:rsidRPr="00C36FD8" w:rsidRDefault="00296F73" w:rsidP="00B10416">
      <w:pPr>
        <w:pStyle w:val="Heading1"/>
        <w:ind w:left="4680"/>
        <w:rPr>
          <w:b w:val="0"/>
          <w:i/>
          <w:szCs w:val="24"/>
          <w:u w:val="single"/>
        </w:rPr>
      </w:pPr>
      <w:r>
        <w:rPr>
          <w:b w:val="0"/>
          <w:szCs w:val="24"/>
          <w:u w:val="single"/>
        </w:rPr>
        <w:tab/>
      </w:r>
      <w:r>
        <w:rPr>
          <w:b w:val="0"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</w:p>
    <w:p w:rsidR="00B10416" w:rsidRPr="00D03DAB" w:rsidRDefault="00B10416" w:rsidP="00B10416">
      <w:pPr>
        <w:pStyle w:val="Heading1"/>
        <w:ind w:left="4680"/>
        <w:rPr>
          <w:b w:val="0"/>
          <w:szCs w:val="24"/>
        </w:rPr>
      </w:pPr>
      <w:r>
        <w:rPr>
          <w:b w:val="0"/>
          <w:szCs w:val="24"/>
        </w:rPr>
        <w:t>Mark R. Hinshaw</w:t>
      </w:r>
      <w:r>
        <w:rPr>
          <w:b w:val="0"/>
          <w:szCs w:val="24"/>
        </w:rPr>
        <w:tab/>
        <w:t>AT0009119</w:t>
      </w:r>
    </w:p>
    <w:p w:rsidR="00B10416" w:rsidRPr="008E0D51" w:rsidRDefault="00B10416" w:rsidP="00B10416">
      <w:pPr>
        <w:spacing w:after="0" w:line="240" w:lineRule="auto"/>
        <w:ind w:left="4680"/>
      </w:pPr>
      <w:r>
        <w:t>The Law Offices of Mark R. Hinshaw</w:t>
      </w:r>
    </w:p>
    <w:p w:rsidR="00B10416" w:rsidRPr="0036528D" w:rsidRDefault="00B10416" w:rsidP="00B10416">
      <w:pPr>
        <w:spacing w:after="0" w:line="240" w:lineRule="auto"/>
        <w:ind w:left="4680"/>
      </w:pPr>
      <w:r>
        <w:t>1200 Valley West Drive, Suite 208</w:t>
      </w:r>
    </w:p>
    <w:p w:rsidR="00B10416" w:rsidRPr="0036528D" w:rsidRDefault="00B10416" w:rsidP="00B10416">
      <w:pPr>
        <w:spacing w:after="0" w:line="240" w:lineRule="auto"/>
        <w:ind w:left="4680"/>
      </w:pPr>
      <w:r w:rsidRPr="0036528D">
        <w:t>West</w:t>
      </w:r>
      <w:r>
        <w:t xml:space="preserve"> Des Moines, IA 50266</w:t>
      </w:r>
    </w:p>
    <w:p w:rsidR="00B10416" w:rsidRPr="0036528D" w:rsidRDefault="00B10416" w:rsidP="00B10416">
      <w:pPr>
        <w:spacing w:after="0" w:line="240" w:lineRule="auto"/>
        <w:ind w:left="4680"/>
      </w:pPr>
      <w:r>
        <w:t>Telephone: (515) 222-1410</w:t>
      </w:r>
    </w:p>
    <w:p w:rsidR="00B10416" w:rsidRPr="0036528D" w:rsidRDefault="00B10416" w:rsidP="00B10416">
      <w:pPr>
        <w:pStyle w:val="Heading2"/>
        <w:ind w:left="4680"/>
        <w:rPr>
          <w:szCs w:val="24"/>
        </w:rPr>
      </w:pPr>
      <w:r>
        <w:rPr>
          <w:szCs w:val="24"/>
        </w:rPr>
        <w:t>Facsimile</w:t>
      </w:r>
      <w:proofErr w:type="gramStart"/>
      <w:r>
        <w:rPr>
          <w:szCs w:val="24"/>
        </w:rPr>
        <w:t>:  (</w:t>
      </w:r>
      <w:proofErr w:type="gramEnd"/>
      <w:r>
        <w:rPr>
          <w:szCs w:val="24"/>
        </w:rPr>
        <w:t>515) 222-1408</w:t>
      </w:r>
    </w:p>
    <w:p w:rsidR="00B10416" w:rsidRDefault="006F72D8" w:rsidP="00B10416">
      <w:pPr>
        <w:spacing w:after="0" w:line="240" w:lineRule="auto"/>
        <w:ind w:left="4680"/>
        <w:rPr>
          <w:spacing w:val="-3"/>
          <w:u w:val="single"/>
        </w:rPr>
      </w:pPr>
      <w:hyperlink r:id="rId7" w:history="1">
        <w:r w:rsidR="00B10416" w:rsidRPr="00D737B0">
          <w:rPr>
            <w:rStyle w:val="Hyperlink"/>
          </w:rPr>
          <w:t>mark@hawkeyedivorce.com</w:t>
        </w:r>
      </w:hyperlink>
      <w:r w:rsidR="00B10416" w:rsidRPr="0036528D">
        <w:rPr>
          <w:u w:val="single"/>
        </w:rPr>
        <w:t xml:space="preserve">  </w:t>
      </w:r>
    </w:p>
    <w:p w:rsidR="00B10416" w:rsidRPr="003E55C6" w:rsidRDefault="00B10416" w:rsidP="00B10416">
      <w:pPr>
        <w:spacing w:after="0" w:line="240" w:lineRule="auto"/>
        <w:ind w:left="4680"/>
        <w:rPr>
          <w:spacing w:val="-3"/>
          <w:u w:val="single"/>
        </w:rPr>
      </w:pPr>
      <w:r>
        <w:rPr>
          <w:spacing w:val="-3"/>
        </w:rPr>
        <w:t>ATTORNEY FOR PETITIONER</w:t>
      </w:r>
    </w:p>
    <w:p w:rsidR="00B10416" w:rsidRPr="00DD0A73" w:rsidRDefault="00B10416" w:rsidP="00B10416">
      <w:pPr>
        <w:pStyle w:val="ListParagraph"/>
        <w:spacing w:line="480" w:lineRule="auto"/>
        <w:ind w:left="0" w:firstLine="1080"/>
        <w:rPr>
          <w:rFonts w:eastAsia="MS Mincho"/>
        </w:rPr>
      </w:pPr>
      <w:r>
        <w:rPr>
          <w:rFonts w:eastAsia="MS Mincho"/>
        </w:rPr>
        <w:br/>
      </w:r>
    </w:p>
    <w:p w:rsidR="00125514" w:rsidRDefault="00125514" w:rsidP="00355484">
      <w:pPr>
        <w:spacing w:after="0" w:line="480" w:lineRule="auto"/>
      </w:pPr>
    </w:p>
    <w:sectPr w:rsidR="00125514" w:rsidSect="008509EA"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EA" w:rsidRDefault="008509EA" w:rsidP="008509EA">
      <w:pPr>
        <w:spacing w:after="0" w:line="240" w:lineRule="auto"/>
      </w:pPr>
      <w:r>
        <w:separator/>
      </w:r>
    </w:p>
  </w:endnote>
  <w:end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764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9EA" w:rsidRDefault="00850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2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9EA" w:rsidRDefault="0085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EA" w:rsidRDefault="008509EA" w:rsidP="008509EA">
      <w:pPr>
        <w:spacing w:after="0" w:line="240" w:lineRule="auto"/>
      </w:pPr>
      <w:r>
        <w:separator/>
      </w:r>
    </w:p>
  </w:footnote>
  <w:foot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6935"/>
    <w:multiLevelType w:val="hybridMultilevel"/>
    <w:tmpl w:val="F892806E"/>
    <w:lvl w:ilvl="0" w:tplc="A830E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A238A"/>
    <w:multiLevelType w:val="hybridMultilevel"/>
    <w:tmpl w:val="C04EF1E4"/>
    <w:lvl w:ilvl="0" w:tplc="114E1C9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897CF8"/>
    <w:multiLevelType w:val="hybridMultilevel"/>
    <w:tmpl w:val="8A28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0D75"/>
    <w:multiLevelType w:val="hybridMultilevel"/>
    <w:tmpl w:val="1BB0A890"/>
    <w:lvl w:ilvl="0" w:tplc="A022DA6C">
      <w:start w:val="1"/>
      <w:numFmt w:val="decimal"/>
      <w:lvlText w:val="%1."/>
      <w:lvlJc w:val="left"/>
      <w:pPr>
        <w:ind w:left="4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4D2070"/>
    <w:multiLevelType w:val="hybridMultilevel"/>
    <w:tmpl w:val="75F6FD8C"/>
    <w:lvl w:ilvl="0" w:tplc="8974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172BC"/>
    <w:multiLevelType w:val="hybridMultilevel"/>
    <w:tmpl w:val="78E2E13A"/>
    <w:lvl w:ilvl="0" w:tplc="4336DC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D7093B"/>
    <w:multiLevelType w:val="hybridMultilevel"/>
    <w:tmpl w:val="BBBEF24E"/>
    <w:lvl w:ilvl="0" w:tplc="537885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796A73"/>
    <w:multiLevelType w:val="hybridMultilevel"/>
    <w:tmpl w:val="BC02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37"/>
    <w:rsid w:val="000D604D"/>
    <w:rsid w:val="000E6C9C"/>
    <w:rsid w:val="00125514"/>
    <w:rsid w:val="0015259D"/>
    <w:rsid w:val="001E51C9"/>
    <w:rsid w:val="00257D16"/>
    <w:rsid w:val="00296F73"/>
    <w:rsid w:val="003424E7"/>
    <w:rsid w:val="00347999"/>
    <w:rsid w:val="00355484"/>
    <w:rsid w:val="003E07CB"/>
    <w:rsid w:val="003E55C6"/>
    <w:rsid w:val="004168C9"/>
    <w:rsid w:val="00451D7C"/>
    <w:rsid w:val="00472786"/>
    <w:rsid w:val="004A6086"/>
    <w:rsid w:val="004B0BD9"/>
    <w:rsid w:val="00500646"/>
    <w:rsid w:val="00517DC4"/>
    <w:rsid w:val="005C3A29"/>
    <w:rsid w:val="00611824"/>
    <w:rsid w:val="00612ADF"/>
    <w:rsid w:val="00627981"/>
    <w:rsid w:val="006A527F"/>
    <w:rsid w:val="006F59F9"/>
    <w:rsid w:val="006F72D8"/>
    <w:rsid w:val="00734DA3"/>
    <w:rsid w:val="00737F7A"/>
    <w:rsid w:val="00786637"/>
    <w:rsid w:val="00835C6C"/>
    <w:rsid w:val="008509EA"/>
    <w:rsid w:val="008D5493"/>
    <w:rsid w:val="0099137C"/>
    <w:rsid w:val="009B1075"/>
    <w:rsid w:val="009B6C6C"/>
    <w:rsid w:val="00A82D73"/>
    <w:rsid w:val="00A93658"/>
    <w:rsid w:val="00AA71E3"/>
    <w:rsid w:val="00B10416"/>
    <w:rsid w:val="00B537B6"/>
    <w:rsid w:val="00BA040C"/>
    <w:rsid w:val="00BB37E7"/>
    <w:rsid w:val="00C36FD8"/>
    <w:rsid w:val="00D03DAB"/>
    <w:rsid w:val="00D10FD1"/>
    <w:rsid w:val="00D329FD"/>
    <w:rsid w:val="00D54A36"/>
    <w:rsid w:val="00D67A8F"/>
    <w:rsid w:val="00D82CE1"/>
    <w:rsid w:val="00D935BE"/>
    <w:rsid w:val="00DC165C"/>
    <w:rsid w:val="00DC55D5"/>
    <w:rsid w:val="00DD0A73"/>
    <w:rsid w:val="00E33632"/>
    <w:rsid w:val="00E37155"/>
    <w:rsid w:val="00E45648"/>
    <w:rsid w:val="00E478EA"/>
    <w:rsid w:val="00E53D5A"/>
    <w:rsid w:val="00E86FAF"/>
    <w:rsid w:val="00EA5B56"/>
    <w:rsid w:val="00EB7E78"/>
    <w:rsid w:val="00ED1AEB"/>
    <w:rsid w:val="00F1032F"/>
    <w:rsid w:val="00F37066"/>
    <w:rsid w:val="00F57F78"/>
    <w:rsid w:val="00F639D7"/>
    <w:rsid w:val="00F742E5"/>
    <w:rsid w:val="00F9246E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FB31"/>
  <w15:chartTrackingRefBased/>
  <w15:docId w15:val="{C5D64FDD-BEF0-466B-B969-669DB2D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3A2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paragraph" w:styleId="Heading2">
    <w:name w:val="heading 2"/>
    <w:basedOn w:val="Normal"/>
    <w:next w:val="Normal"/>
    <w:link w:val="Heading2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42E5"/>
    <w:rPr>
      <w:rFonts w:eastAsia="Times New Roman"/>
      <w:b/>
      <w:spacing w:val="-3"/>
      <w:sz w:val="24"/>
    </w:rPr>
  </w:style>
  <w:style w:type="character" w:customStyle="1" w:styleId="Heading2Char">
    <w:name w:val="Heading 2 Char"/>
    <w:link w:val="Heading2"/>
    <w:rsid w:val="00F742E5"/>
    <w:rPr>
      <w:rFonts w:eastAsia="Times New Roman"/>
      <w:sz w:val="24"/>
    </w:rPr>
  </w:style>
  <w:style w:type="character" w:styleId="Hyperlink">
    <w:name w:val="Hyperlink"/>
    <w:rsid w:val="00F742E5"/>
    <w:rPr>
      <w:color w:val="0000FF"/>
      <w:u w:val="single"/>
    </w:rPr>
  </w:style>
  <w:style w:type="table" w:styleId="TableGrid">
    <w:name w:val="Table Grid"/>
    <w:basedOn w:val="TableNormal"/>
    <w:rsid w:val="00737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066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EA"/>
    <w:rPr>
      <w:sz w:val="24"/>
      <w:szCs w:val="24"/>
    </w:rPr>
  </w:style>
  <w:style w:type="paragraph" w:customStyle="1" w:styleId="Default">
    <w:name w:val="Default"/>
    <w:rsid w:val="00A9365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Links>
    <vt:vector size="6" baseType="variant"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mailto:mark@hawkeyedivorce.com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Tarissa Newman</cp:lastModifiedBy>
  <cp:revision>3</cp:revision>
  <cp:lastPrinted>2016-10-10T17:20:00Z</cp:lastPrinted>
  <dcterms:created xsi:type="dcterms:W3CDTF">2017-06-12T19:21:00Z</dcterms:created>
  <dcterms:modified xsi:type="dcterms:W3CDTF">2017-06-12T19:31:00Z</dcterms:modified>
</cp:coreProperties>
</file>